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04"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Утверждено</w:t>
      </w:r>
    </w:p>
    <w:p w:rsidR="00C33518"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 xml:space="preserve">решением заседания </w:t>
      </w:r>
    </w:p>
    <w:p w:rsidR="00C33518"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Межведомственной комиссии</w:t>
      </w:r>
    </w:p>
    <w:p w:rsidR="00C33518"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 xml:space="preserve">по охране труда при Правительстве </w:t>
      </w:r>
    </w:p>
    <w:p w:rsidR="00C33518"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Ханты-Мансийского автономного округа –</w:t>
      </w:r>
      <w:r>
        <w:rPr>
          <w:rFonts w:ascii="Times New Roman" w:hAnsi="Times New Roman" w:cs="Times New Roman"/>
          <w:sz w:val="16"/>
          <w:szCs w:val="16"/>
        </w:rPr>
        <w:t xml:space="preserve"> Югры</w:t>
      </w:r>
    </w:p>
    <w:p w:rsidR="00C33518" w:rsidRPr="00C33518" w:rsidRDefault="00C33518" w:rsidP="00C33518">
      <w:pPr>
        <w:spacing w:after="0" w:line="240" w:lineRule="auto"/>
        <w:contextualSpacing/>
        <w:jc w:val="right"/>
        <w:rPr>
          <w:rFonts w:ascii="Times New Roman" w:hAnsi="Times New Roman" w:cs="Times New Roman"/>
          <w:sz w:val="16"/>
          <w:szCs w:val="16"/>
        </w:rPr>
      </w:pPr>
      <w:r w:rsidRPr="00C33518">
        <w:rPr>
          <w:rFonts w:ascii="Times New Roman" w:hAnsi="Times New Roman" w:cs="Times New Roman"/>
          <w:sz w:val="16"/>
          <w:szCs w:val="16"/>
        </w:rPr>
        <w:t xml:space="preserve"> (протокол № 1 от 30.04.2019)</w:t>
      </w:r>
    </w:p>
    <w:p w:rsidR="00C33518" w:rsidRDefault="00C33518" w:rsidP="00C33518">
      <w:pPr>
        <w:spacing w:after="0" w:line="240" w:lineRule="auto"/>
        <w:contextualSpacing/>
        <w:jc w:val="right"/>
        <w:rPr>
          <w:rFonts w:ascii="Times New Roman" w:hAnsi="Times New Roman" w:cs="Times New Roman"/>
          <w:sz w:val="28"/>
          <w:szCs w:val="28"/>
        </w:rPr>
      </w:pPr>
    </w:p>
    <w:p w:rsidR="00C33518" w:rsidRDefault="00C33518" w:rsidP="00C33518">
      <w:pPr>
        <w:spacing w:after="0" w:line="240" w:lineRule="auto"/>
        <w:contextualSpacing/>
        <w:jc w:val="right"/>
        <w:rPr>
          <w:rFonts w:ascii="Times New Roman" w:hAnsi="Times New Roman" w:cs="Times New Roman"/>
          <w:sz w:val="28"/>
          <w:szCs w:val="28"/>
        </w:rPr>
      </w:pPr>
    </w:p>
    <w:p w:rsidR="000E5E3F" w:rsidRDefault="00F80104" w:rsidP="000E5E3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программа</w:t>
      </w:r>
      <w:r w:rsidR="000E5E3F">
        <w:rPr>
          <w:rFonts w:ascii="Times New Roman" w:hAnsi="Times New Roman" w:cs="Times New Roman"/>
          <w:sz w:val="28"/>
          <w:szCs w:val="28"/>
        </w:rPr>
        <w:t xml:space="preserve"> «Нулевой травматизм»</w:t>
      </w:r>
    </w:p>
    <w:p w:rsidR="00F80104" w:rsidRDefault="00F80104" w:rsidP="000E5E3F">
      <w:pPr>
        <w:spacing w:after="0" w:line="240" w:lineRule="auto"/>
        <w:contextualSpacing/>
        <w:rPr>
          <w:rFonts w:ascii="Times New Roman" w:hAnsi="Times New Roman" w:cs="Times New Roman"/>
          <w:sz w:val="28"/>
          <w:szCs w:val="28"/>
        </w:rPr>
      </w:pPr>
    </w:p>
    <w:p w:rsidR="00F80104" w:rsidRDefault="00F80104" w:rsidP="00F8010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C4A1E" w:rsidRDefault="009C4A1E" w:rsidP="009C4A1E">
      <w:pPr>
        <w:pStyle w:val="a3"/>
        <w:spacing w:after="0" w:line="240" w:lineRule="auto"/>
        <w:rPr>
          <w:rFonts w:ascii="Times New Roman" w:hAnsi="Times New Roman" w:cs="Times New Roman"/>
          <w:sz w:val="28"/>
          <w:szCs w:val="28"/>
        </w:rPr>
      </w:pPr>
    </w:p>
    <w:p w:rsidR="00F80104" w:rsidRDefault="00F80104"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«Нулевой травматизм» (далее – Программа) разработана в соответствии с подпрограммой «</w:t>
      </w:r>
      <w:r w:rsidRPr="00F80104">
        <w:rPr>
          <w:rFonts w:ascii="Times New Roman" w:hAnsi="Times New Roman" w:cs="Times New Roman"/>
          <w:sz w:val="28"/>
          <w:szCs w:val="28"/>
        </w:rPr>
        <w:t>Улучшение условий и охраны труда в автономном округе</w:t>
      </w:r>
      <w:r>
        <w:rPr>
          <w:rFonts w:ascii="Times New Roman" w:hAnsi="Times New Roman" w:cs="Times New Roman"/>
          <w:sz w:val="28"/>
          <w:szCs w:val="28"/>
        </w:rPr>
        <w:t xml:space="preserve">» Государственной программы </w:t>
      </w:r>
      <w:r w:rsidRPr="00F80104">
        <w:rPr>
          <w:rFonts w:ascii="Times New Roman" w:hAnsi="Times New Roman" w:cs="Times New Roman"/>
          <w:sz w:val="28"/>
          <w:szCs w:val="28"/>
        </w:rPr>
        <w:t>Ханты-Мансийского автономного округа – Югры «Поддержка занятости населения»</w:t>
      </w:r>
      <w:r>
        <w:rPr>
          <w:rFonts w:ascii="Times New Roman" w:hAnsi="Times New Roman" w:cs="Times New Roman"/>
          <w:sz w:val="28"/>
          <w:szCs w:val="28"/>
        </w:rPr>
        <w:t xml:space="preserve">, утвержденной постановлением Правительства </w:t>
      </w:r>
      <w:r w:rsidRPr="00F80104">
        <w:rPr>
          <w:rFonts w:ascii="Times New Roman" w:hAnsi="Times New Roman" w:cs="Times New Roman"/>
          <w:sz w:val="28"/>
          <w:szCs w:val="28"/>
        </w:rPr>
        <w:t>Ханты-Мансийского автономного округа – Югры</w:t>
      </w:r>
      <w:r>
        <w:rPr>
          <w:rFonts w:ascii="Times New Roman" w:hAnsi="Times New Roman" w:cs="Times New Roman"/>
          <w:sz w:val="28"/>
          <w:szCs w:val="28"/>
        </w:rPr>
        <w:t xml:space="preserve"> от 5 октября 2018 года № 343-п.</w:t>
      </w:r>
    </w:p>
    <w:p w:rsidR="00E8629C" w:rsidRDefault="00E8629C" w:rsidP="009C4A1E">
      <w:pPr>
        <w:pStyle w:val="a3"/>
        <w:numPr>
          <w:ilvl w:val="1"/>
          <w:numId w:val="1"/>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w:t>
      </w:r>
      <w:r w:rsidR="00AB3F21">
        <w:rPr>
          <w:rFonts w:ascii="Times New Roman" w:hAnsi="Times New Roman" w:cs="Times New Roman"/>
          <w:sz w:val="28"/>
          <w:szCs w:val="28"/>
        </w:rPr>
        <w:t xml:space="preserve"> </w:t>
      </w:r>
      <w:r>
        <w:rPr>
          <w:rFonts w:ascii="Times New Roman" w:hAnsi="Times New Roman" w:cs="Times New Roman"/>
          <w:sz w:val="28"/>
          <w:szCs w:val="28"/>
        </w:rPr>
        <w:t>и здоровья работников</w:t>
      </w:r>
      <w:r w:rsidR="00AB3F21">
        <w:rPr>
          <w:rFonts w:ascii="Times New Roman" w:hAnsi="Times New Roman" w:cs="Times New Roman"/>
          <w:sz w:val="28"/>
          <w:szCs w:val="28"/>
        </w:rPr>
        <w:t xml:space="preserve"> в процессе их трудовой деятельности.</w:t>
      </w:r>
    </w:p>
    <w:p w:rsidR="00AB3F21"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Default="009C4A1E"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и здоровья работников на рабочих местах.</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несчастных случаев на производстве.</w:t>
      </w:r>
    </w:p>
    <w:p w:rsidR="009C4A1E"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Default="00AB3F21" w:rsidP="009C4A1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рисков несчастных случаев на производстве.</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системы управления профессиональными рисками.</w:t>
      </w:r>
    </w:p>
    <w:p w:rsidR="009C4A1E" w:rsidRDefault="009C4A1E" w:rsidP="009C4A1E">
      <w:pPr>
        <w:pStyle w:val="a3"/>
        <w:spacing w:after="0" w:line="240" w:lineRule="auto"/>
        <w:ind w:left="1440"/>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Принципы.</w:t>
      </w:r>
    </w:p>
    <w:p w:rsidR="00426C57" w:rsidRDefault="00426C57" w:rsidP="00D42315">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Приоритет жизни работника и его здоровье.</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Вовлечение работников в обеспечение безопасных условий и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Оценка и управление рисками на производстве, проведение регулярных аудитов безопасности.</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Непрерывное обучение и информирование работников по вопросам охраны труда.</w:t>
      </w:r>
    </w:p>
    <w:p w:rsidR="00426C57" w:rsidRDefault="00426C57" w:rsidP="00426C57">
      <w:pPr>
        <w:pStyle w:val="a3"/>
        <w:spacing w:after="0" w:line="240" w:lineRule="auto"/>
        <w:jc w:val="both"/>
        <w:rPr>
          <w:rFonts w:ascii="Times New Roman" w:hAnsi="Times New Roman" w:cs="Times New Roman"/>
          <w:sz w:val="28"/>
          <w:szCs w:val="28"/>
        </w:rPr>
      </w:pPr>
    </w:p>
    <w:p w:rsidR="00AB3F21" w:rsidRDefault="004C3A7F" w:rsidP="004C3A7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426C57" w:rsidRDefault="00426C57" w:rsidP="00426C57">
      <w:pPr>
        <w:pStyle w:val="a3"/>
        <w:spacing w:after="0" w:line="240" w:lineRule="auto"/>
        <w:rPr>
          <w:rFonts w:ascii="Times New Roman" w:hAnsi="Times New Roman" w:cs="Times New Roman"/>
          <w:sz w:val="28"/>
          <w:szCs w:val="28"/>
        </w:rPr>
      </w:pPr>
    </w:p>
    <w:p w:rsidR="004C3A7F" w:rsidRDefault="004C3A7F"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реализация скоординированных действий по следующим основным направлениям:</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работника на рабочем месте.</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Проведение специальной оценки условий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p>
    <w:p w:rsidR="004C3A7F" w:rsidRDefault="00931629" w:rsidP="00D42315">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 xml:space="preserve">Проведение обязательных предварительных (при поступлении на работу) и периодических (в течение трудовой деятельности) </w:t>
      </w:r>
      <w:r w:rsidR="00C27C36" w:rsidRPr="00931629">
        <w:rPr>
          <w:rFonts w:ascii="Times New Roman" w:hAnsi="Times New Roman" w:cs="Times New Roman"/>
          <w:sz w:val="28"/>
          <w:szCs w:val="28"/>
        </w:rPr>
        <w:t>медицинских осмотров</w:t>
      </w:r>
      <w:r w:rsidRPr="00931629">
        <w:rPr>
          <w:rFonts w:ascii="Times New Roman" w:hAnsi="Times New Roman" w:cs="Times New Roman"/>
          <w:sz w:val="28"/>
          <w:szCs w:val="28"/>
        </w:rPr>
        <w:t xml:space="preserve">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 и инструкций по охране труда для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w:t>
      </w:r>
      <w:r>
        <w:rPr>
          <w:rFonts w:ascii="Times New Roman" w:hAnsi="Times New Roman" w:cs="Times New Roman"/>
          <w:sz w:val="28"/>
          <w:szCs w:val="28"/>
        </w:rPr>
        <w:t xml:space="preserve"> </w:t>
      </w:r>
      <w:r w:rsidRPr="00931629">
        <w:rPr>
          <w:rFonts w:ascii="Times New Roman" w:hAnsi="Times New Roman" w:cs="Times New Roman"/>
          <w:sz w:val="28"/>
          <w:szCs w:val="28"/>
        </w:rPr>
        <w:t>приведению условий и охраны труда в соответствие с государственными нормативными требованиями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и выдача в установленном порядке работникам, занятым на работах с вредными и (или) опасными условиями </w:t>
      </w:r>
      <w:r>
        <w:rPr>
          <w:rFonts w:ascii="Times New Roman" w:hAnsi="Times New Roman" w:cs="Times New Roman"/>
          <w:sz w:val="28"/>
          <w:szCs w:val="28"/>
        </w:rPr>
        <w:lastRenderedPageBreak/>
        <w:t>труда, молока и других равноценных пищевых продуктов, лечебно-профилактического питания.</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и (или) опасными условиями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931629">
        <w:rPr>
          <w:rFonts w:ascii="Times New Roman" w:hAnsi="Times New Roman" w:cs="Times New Roman"/>
          <w:sz w:val="28"/>
          <w:szCs w:val="28"/>
        </w:rPr>
        <w:t>Онлайнинспекция.РФ</w:t>
      </w:r>
      <w:proofErr w:type="spellEnd"/>
      <w:r w:rsidRPr="00931629">
        <w:rPr>
          <w:rFonts w:ascii="Times New Roman" w:hAnsi="Times New Roman" w:cs="Times New Roman"/>
          <w:sz w:val="28"/>
          <w:szCs w:val="28"/>
        </w:rPr>
        <w:t>».</w:t>
      </w:r>
    </w:p>
    <w:p w:rsidR="00931629" w:rsidRPr="00931629" w:rsidRDefault="00931629" w:rsidP="00344346">
      <w:pPr>
        <w:pStyle w:val="a3"/>
        <w:numPr>
          <w:ilvl w:val="1"/>
          <w:numId w:val="1"/>
        </w:numPr>
        <w:spacing w:after="0" w:line="240" w:lineRule="auto"/>
        <w:ind w:left="0" w:firstLine="720"/>
        <w:jc w:val="both"/>
        <w:rPr>
          <w:rFonts w:ascii="Times New Roman" w:hAnsi="Times New Roman" w:cs="Times New Roman"/>
          <w:sz w:val="28"/>
          <w:szCs w:val="28"/>
        </w:rPr>
      </w:pPr>
      <w:r w:rsidRPr="00931629">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Default="00931629"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B52728" w:rsidRDefault="00B52728"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pPr>
    </w:p>
    <w:p w:rsidR="009937A7" w:rsidRDefault="009937A7" w:rsidP="00C33518">
      <w:pPr>
        <w:spacing w:after="0"/>
        <w:jc w:val="both"/>
        <w:rPr>
          <w:rFonts w:ascii="Times New Roman" w:hAnsi="Times New Roman" w:cs="Times New Roman"/>
          <w:sz w:val="28"/>
          <w:szCs w:val="28"/>
        </w:rPr>
        <w:sectPr w:rsidR="009937A7" w:rsidSect="00C33518">
          <w:pgSz w:w="11906" w:h="16838"/>
          <w:pgMar w:top="568" w:right="850" w:bottom="1134" w:left="1701" w:header="708" w:footer="708" w:gutter="0"/>
          <w:cols w:space="708"/>
          <w:docGrid w:linePitch="360"/>
        </w:sectPr>
      </w:pPr>
    </w:p>
    <w:p w:rsidR="009937A7" w:rsidRPr="009937A7" w:rsidRDefault="009937A7" w:rsidP="009937A7">
      <w:pPr>
        <w:spacing w:after="0" w:line="240" w:lineRule="auto"/>
        <w:ind w:left="9718"/>
        <w:jc w:val="right"/>
        <w:outlineLvl w:val="0"/>
        <w:rPr>
          <w:rFonts w:ascii="Times New Roman" w:eastAsia="Times New Roman" w:hAnsi="Times New Roman" w:cs="Times New Roman"/>
          <w:sz w:val="24"/>
          <w:szCs w:val="24"/>
          <w:lang w:eastAsia="ru-RU"/>
        </w:rPr>
      </w:pPr>
      <w:r w:rsidRPr="009937A7">
        <w:rPr>
          <w:rFonts w:ascii="Times New Roman" w:eastAsia="Times New Roman" w:hAnsi="Times New Roman" w:cs="Times New Roman"/>
          <w:sz w:val="24"/>
          <w:szCs w:val="24"/>
          <w:lang w:eastAsia="ru-RU"/>
        </w:rPr>
        <w:lastRenderedPageBreak/>
        <w:t>Приложение 1</w:t>
      </w:r>
    </w:p>
    <w:p w:rsidR="009937A7" w:rsidRPr="009937A7" w:rsidRDefault="009937A7" w:rsidP="009937A7">
      <w:pPr>
        <w:spacing w:after="0" w:line="240" w:lineRule="auto"/>
        <w:ind w:left="9718"/>
        <w:jc w:val="right"/>
        <w:rPr>
          <w:rFonts w:ascii="Times New Roman" w:eastAsia="Times New Roman" w:hAnsi="Times New Roman" w:cs="Times New Roman"/>
          <w:sz w:val="24"/>
          <w:szCs w:val="24"/>
          <w:lang w:eastAsia="ru-RU"/>
        </w:rPr>
      </w:pPr>
      <w:r w:rsidRPr="009937A7">
        <w:rPr>
          <w:rFonts w:ascii="Times New Roman" w:eastAsia="Times New Roman" w:hAnsi="Times New Roman" w:cs="Times New Roman"/>
          <w:sz w:val="24"/>
          <w:szCs w:val="24"/>
          <w:lang w:eastAsia="ru-RU"/>
        </w:rPr>
        <w:t>к типовой программе</w:t>
      </w:r>
      <w:r w:rsidRPr="009937A7">
        <w:rPr>
          <w:rFonts w:ascii="Times New Roman" w:eastAsia="Times New Roman" w:hAnsi="Times New Roman" w:cs="Times New Roman"/>
          <w:sz w:val="24"/>
          <w:szCs w:val="24"/>
          <w:lang w:eastAsia="ru-RU"/>
        </w:rPr>
        <w:br/>
        <w:t>«Нулевой травматизм»</w:t>
      </w:r>
    </w:p>
    <w:p w:rsidR="009937A7" w:rsidRPr="009937A7" w:rsidRDefault="009937A7" w:rsidP="009937A7">
      <w:pPr>
        <w:spacing w:before="120" w:after="0" w:line="240" w:lineRule="auto"/>
        <w:ind w:left="9720"/>
        <w:jc w:val="right"/>
        <w:rPr>
          <w:rFonts w:ascii="Times New Roman" w:eastAsia="Times New Roman" w:hAnsi="Times New Roman" w:cs="Times New Roman"/>
          <w:sz w:val="28"/>
          <w:szCs w:val="28"/>
          <w:lang w:eastAsia="ru-RU"/>
        </w:rPr>
      </w:pPr>
    </w:p>
    <w:p w:rsidR="009937A7" w:rsidRPr="009937A7" w:rsidRDefault="009937A7" w:rsidP="009937A7">
      <w:pPr>
        <w:spacing w:after="0" w:line="240" w:lineRule="auto"/>
        <w:jc w:val="right"/>
        <w:rPr>
          <w:rFonts w:ascii="Times New Roman" w:eastAsia="Times New Roman" w:hAnsi="Times New Roman" w:cs="Times New Roman"/>
          <w:sz w:val="28"/>
          <w:szCs w:val="28"/>
          <w:lang w:eastAsia="ru-RU"/>
        </w:rPr>
      </w:pPr>
    </w:p>
    <w:p w:rsidR="009937A7" w:rsidRPr="009937A7" w:rsidRDefault="009937A7" w:rsidP="009937A7">
      <w:pPr>
        <w:spacing w:after="0" w:line="240" w:lineRule="auto"/>
        <w:jc w:val="center"/>
        <w:outlineLvl w:val="0"/>
        <w:rPr>
          <w:rFonts w:ascii="Times New Roman" w:eastAsia="Times New Roman" w:hAnsi="Times New Roman" w:cs="Times New Roman"/>
          <w:b/>
          <w:sz w:val="24"/>
          <w:szCs w:val="24"/>
          <w:lang w:eastAsia="ru-RU"/>
        </w:rPr>
      </w:pPr>
      <w:r w:rsidRPr="009937A7">
        <w:rPr>
          <w:rFonts w:ascii="Times New Roman" w:eastAsia="Times New Roman" w:hAnsi="Times New Roman" w:cs="Times New Roman"/>
          <w:b/>
          <w:sz w:val="24"/>
          <w:szCs w:val="24"/>
          <w:lang w:eastAsia="ru-RU"/>
        </w:rPr>
        <w:t>ПЕРЕЧЕНЬ МЕРОПРИЯТИЙ</w:t>
      </w:r>
    </w:p>
    <w:p w:rsidR="009937A7" w:rsidRPr="009937A7" w:rsidRDefault="009937A7" w:rsidP="009937A7">
      <w:pPr>
        <w:spacing w:after="0" w:line="240" w:lineRule="auto"/>
        <w:jc w:val="center"/>
        <w:rPr>
          <w:rFonts w:ascii="Times New Roman" w:eastAsia="Times New Roman" w:hAnsi="Times New Roman" w:cs="Times New Roman"/>
          <w:b/>
          <w:sz w:val="24"/>
          <w:szCs w:val="24"/>
          <w:lang w:eastAsia="ru-RU"/>
        </w:rPr>
      </w:pPr>
      <w:r w:rsidRPr="009937A7">
        <w:rPr>
          <w:rFonts w:ascii="Times New Roman" w:eastAsia="Times New Roman" w:hAnsi="Times New Roman" w:cs="Times New Roman"/>
          <w:b/>
          <w:sz w:val="24"/>
          <w:szCs w:val="24"/>
          <w:lang w:eastAsia="ru-RU"/>
        </w:rPr>
        <w:t xml:space="preserve">по реализации </w:t>
      </w:r>
      <w:r>
        <w:rPr>
          <w:rFonts w:ascii="Times New Roman" w:eastAsia="Times New Roman" w:hAnsi="Times New Roman" w:cs="Times New Roman"/>
          <w:b/>
          <w:sz w:val="24"/>
          <w:szCs w:val="24"/>
          <w:lang w:eastAsia="ru-RU"/>
        </w:rPr>
        <w:t>т</w:t>
      </w:r>
      <w:r w:rsidRPr="009937A7">
        <w:rPr>
          <w:rFonts w:ascii="Times New Roman" w:eastAsia="Times New Roman" w:hAnsi="Times New Roman" w:cs="Times New Roman"/>
          <w:b/>
          <w:sz w:val="24"/>
          <w:szCs w:val="24"/>
          <w:lang w:eastAsia="ru-RU"/>
        </w:rPr>
        <w:t>иповой программы «</w:t>
      </w:r>
      <w:r>
        <w:rPr>
          <w:rFonts w:ascii="Times New Roman" w:eastAsia="Times New Roman" w:hAnsi="Times New Roman" w:cs="Times New Roman"/>
          <w:b/>
          <w:sz w:val="24"/>
          <w:szCs w:val="24"/>
          <w:lang w:eastAsia="ru-RU"/>
        </w:rPr>
        <w:t>Н</w:t>
      </w:r>
      <w:r w:rsidRPr="009937A7">
        <w:rPr>
          <w:rFonts w:ascii="Times New Roman" w:eastAsia="Times New Roman" w:hAnsi="Times New Roman" w:cs="Times New Roman"/>
          <w:b/>
          <w:sz w:val="24"/>
          <w:szCs w:val="24"/>
          <w:lang w:eastAsia="ru-RU"/>
        </w:rPr>
        <w:t>улево</w:t>
      </w:r>
      <w:r>
        <w:rPr>
          <w:rFonts w:ascii="Times New Roman" w:eastAsia="Times New Roman" w:hAnsi="Times New Roman" w:cs="Times New Roman"/>
          <w:b/>
          <w:sz w:val="24"/>
          <w:szCs w:val="24"/>
          <w:lang w:eastAsia="ru-RU"/>
        </w:rPr>
        <w:t xml:space="preserve">й </w:t>
      </w:r>
      <w:r w:rsidRPr="009937A7">
        <w:rPr>
          <w:rFonts w:ascii="Times New Roman" w:eastAsia="Times New Roman" w:hAnsi="Times New Roman" w:cs="Times New Roman"/>
          <w:b/>
          <w:sz w:val="24"/>
          <w:szCs w:val="24"/>
          <w:lang w:eastAsia="ru-RU"/>
        </w:rPr>
        <w:t>травматизм»</w:t>
      </w:r>
    </w:p>
    <w:p w:rsidR="009937A7" w:rsidRPr="009937A7" w:rsidRDefault="009937A7" w:rsidP="009937A7">
      <w:pPr>
        <w:spacing w:after="0" w:line="240" w:lineRule="auto"/>
        <w:jc w:val="center"/>
        <w:rPr>
          <w:rFonts w:ascii="Times New Roman" w:eastAsia="Times New Roman" w:hAnsi="Times New Roman" w:cs="Times New Roman"/>
          <w:sz w:val="28"/>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446"/>
        <w:gridCol w:w="1418"/>
        <w:gridCol w:w="1276"/>
        <w:gridCol w:w="1417"/>
        <w:gridCol w:w="1276"/>
        <w:gridCol w:w="1276"/>
        <w:gridCol w:w="1134"/>
      </w:tblGrid>
      <w:tr w:rsidR="009937A7" w:rsidRPr="009937A7" w:rsidTr="009937A7">
        <w:tc>
          <w:tcPr>
            <w:tcW w:w="820" w:type="dxa"/>
            <w:vMerge w:val="restart"/>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w:t>
            </w:r>
          </w:p>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п/п</w:t>
            </w:r>
          </w:p>
        </w:tc>
        <w:tc>
          <w:tcPr>
            <w:tcW w:w="4533" w:type="dxa"/>
            <w:vMerge w:val="restart"/>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Наименование мероприятия</w:t>
            </w:r>
          </w:p>
        </w:tc>
        <w:tc>
          <w:tcPr>
            <w:tcW w:w="1446" w:type="dxa"/>
            <w:vMerge w:val="restart"/>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Ответственные исполнители</w:t>
            </w:r>
          </w:p>
        </w:tc>
        <w:tc>
          <w:tcPr>
            <w:tcW w:w="1418" w:type="dxa"/>
            <w:vMerge w:val="restart"/>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 xml:space="preserve">Срок </w:t>
            </w:r>
          </w:p>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исполнения</w:t>
            </w:r>
          </w:p>
        </w:tc>
        <w:tc>
          <w:tcPr>
            <w:tcW w:w="6379" w:type="dxa"/>
            <w:gridSpan w:val="5"/>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Объем финансирования, тыс. рублей</w:t>
            </w:r>
          </w:p>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vMerge/>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4533" w:type="dxa"/>
            <w:vMerge/>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46" w:type="dxa"/>
            <w:vMerge/>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vMerge/>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2019 год</w:t>
            </w: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2020 год</w:t>
            </w: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2021 год</w:t>
            </w: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2022 год</w:t>
            </w: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2023 год</w:t>
            </w:r>
          </w:p>
        </w:tc>
      </w:tr>
      <w:tr w:rsidR="009937A7" w:rsidRPr="009937A7" w:rsidTr="009937A7">
        <w:tc>
          <w:tcPr>
            <w:tcW w:w="14596" w:type="dxa"/>
            <w:gridSpan w:val="9"/>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1.Стать лидером – показать приверженность принципам</w:t>
            </w: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1.1.</w:t>
            </w:r>
          </w:p>
        </w:tc>
        <w:tc>
          <w:tcPr>
            <w:tcW w:w="4533" w:type="dxa"/>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Создание службы охраны труда</w:t>
            </w:r>
          </w:p>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(введение должности специалиста по охране труда)</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а)</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Назначение ответственного лица за обеспечение охраны труда в организации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б)</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Осуществление функций по охране труда работодателем лично (руководителем организации, индивидуальным предпринимателем)</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Заключение гражданско-правового договора с организацией или специалистом, оказывающими услуги в области охраны труда</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1.2.</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9937A7">
              <w:rPr>
                <w:rFonts w:ascii="Times New Roman" w:eastAsia="Times New Roman" w:hAnsi="Times New Roman" w:cs="Times New Roman"/>
                <w:lang w:eastAsia="ru-RU"/>
              </w:rPr>
              <w:t>Онлайнинспекция.РФ</w:t>
            </w:r>
            <w:proofErr w:type="spellEnd"/>
            <w:r w:rsidRPr="009937A7">
              <w:rPr>
                <w:rFonts w:ascii="Times New Roman" w:eastAsia="Times New Roman" w:hAnsi="Times New Roman" w:cs="Times New Roman"/>
                <w:lang w:eastAsia="ru-RU"/>
              </w:rPr>
              <w:t>»</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1.3.</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Обеспечение выполнения предписаний органов государственного надзора и контроля в установленные сроки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1.4.</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 xml:space="preserve">Включение вопросов состояния условий и охраны труда в повестки совещаний, </w:t>
            </w:r>
            <w:r w:rsidRPr="009937A7">
              <w:rPr>
                <w:rFonts w:ascii="Times New Roman" w:eastAsia="Times New Roman" w:hAnsi="Times New Roman" w:cs="Times New Roman"/>
                <w:lang w:eastAsia="ru-RU"/>
              </w:rPr>
              <w:lastRenderedPageBreak/>
              <w:t>проводимых руководителем организации с заслушиванием руководителей структурных подразделений</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1.5.</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1.6.</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Организация и проведение физкультурно-оздоровительных мероприятий (производственной гимнастики)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14596" w:type="dxa"/>
            <w:gridSpan w:val="9"/>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 Выявлять угрозы – контролировать риски</w:t>
            </w: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2.1.</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Анализ и систематизация информации о состоянии условий и охраны труда в организации</w:t>
            </w:r>
            <w:r w:rsidRPr="009937A7">
              <w:rPr>
                <w:rFonts w:ascii="Times New Roman" w:eastAsia="Times New Roman" w:hAnsi="Times New Roman" w:cs="Times New Roman"/>
                <w:lang w:eastAsia="ru-RU"/>
              </w:rPr>
              <w:tab/>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2.2.</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2.3.</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2.4.</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Проведение проверок условий и охраны труда на рабочих местах</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2.5.</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Внедрение и проведение поведенческого аудита безопасности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2.6.</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Организация расследования и учета микротравм, полученных работниками в процессе трудовой деятельности</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2.7.</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Осуществление контроля за соблюдением работниками требований охраны труда.</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820"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2.8.</w:t>
            </w:r>
          </w:p>
        </w:tc>
        <w:tc>
          <w:tcPr>
            <w:tcW w:w="4533" w:type="dxa"/>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Разработка и внедрение порядка выявления потенциально возможных аварий, порядка действий в случае их возникновения</w:t>
            </w:r>
          </w:p>
        </w:tc>
        <w:tc>
          <w:tcPr>
            <w:tcW w:w="144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8"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417"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276"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c>
          <w:tcPr>
            <w:tcW w:w="1134" w:type="dxa"/>
          </w:tcPr>
          <w:p w:rsidR="009937A7" w:rsidRPr="009937A7" w:rsidRDefault="009937A7" w:rsidP="009937A7">
            <w:pPr>
              <w:spacing w:after="0" w:line="240" w:lineRule="auto"/>
              <w:jc w:val="center"/>
              <w:rPr>
                <w:rFonts w:ascii="Times New Roman" w:eastAsia="Times New Roman" w:hAnsi="Times New Roman" w:cs="Times New Roman"/>
                <w:lang w:eastAsia="ru-RU"/>
              </w:rPr>
            </w:pPr>
          </w:p>
        </w:tc>
      </w:tr>
      <w:tr w:rsidR="009937A7" w:rsidRPr="009937A7" w:rsidTr="009937A7">
        <w:tc>
          <w:tcPr>
            <w:tcW w:w="14596" w:type="dxa"/>
            <w:gridSpan w:val="9"/>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 Определять цели – разрабатывать программы</w:t>
            </w: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lastRenderedPageBreak/>
              <w:t>3.1.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Внедрение системы управления охраной труда в соответствии с действующим законодательством</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Обеспечение наличия комплекта нормативных правовых актов, содержащих требования охраны труда в соответствии со спецификой деятельности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Выборы уполномоченных (доверенных) лиц по охране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Создание и обеспечение работы комитета (комиссии) по охране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jc w:val="center"/>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3.5.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96" w:type="dxa"/>
            <w:gridSpan w:val="9"/>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 Создать систему безопасности и гигиены труда – достичь высокого уровня организации</w:t>
            </w: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9937A7">
              <w:rPr>
                <w:rFonts w:ascii="Times New Roman" w:eastAsia="Calibri" w:hAnsi="Times New Roman" w:cs="Times New Roman"/>
              </w:rPr>
              <w:t>травмирования</w:t>
            </w:r>
            <w:proofErr w:type="spellEnd"/>
            <w:r w:rsidRPr="009937A7">
              <w:rPr>
                <w:rFonts w:ascii="Times New Roman" w:eastAsia="Calibri" w:hAnsi="Times New Roman" w:cs="Times New Roman"/>
              </w:rPr>
              <w:t xml:space="preserve"> работников, их заболеваемости из-за переутомления и </w:t>
            </w:r>
            <w:r w:rsidRPr="009937A7">
              <w:rPr>
                <w:rFonts w:ascii="Times New Roman" w:eastAsia="Calibri" w:hAnsi="Times New Roman" w:cs="Times New Roman"/>
              </w:rPr>
              <w:lastRenderedPageBreak/>
              <w:t>воздействия психофизиологических факторов</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4.6.</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9937A7">
              <w:rPr>
                <w:rFonts w:ascii="Times New Roman" w:eastAsia="Calibri" w:hAnsi="Times New Roman" w:cs="Times New Roman"/>
              </w:rPr>
              <w:t>профпатологии</w:t>
            </w:r>
            <w:proofErr w:type="spellEnd"/>
            <w:r w:rsidRPr="009937A7">
              <w:rPr>
                <w:rFonts w:ascii="Times New Roman" w:eastAsia="Calibri" w:hAnsi="Times New Roman" w:cs="Times New Roman"/>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lastRenderedPageBreak/>
              <w:t>4.7.</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4.8.</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Приобретение и монтаж установок (автоматов) для обеспечения работников питьевой водой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4.9.</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Оборудование помещения для оказания медицинской помощи и (или) создание санитарных постов с ап-течками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96" w:type="dxa"/>
            <w:gridSpan w:val="9"/>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 Обеспечивать безопасность и гигиену на рабочих местах, при работе со станками и оборудованием</w:t>
            </w: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специальной оценки условий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Реализация мероприятий, разработанных по результатам проведения специальной оценки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Учет количества рабочих мест, на которых улучшены условия труда по результатам специальной оценки условий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осуществление контроля за обязательным применением работниками СИЗ</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проверок исправности СИЗ, замена частей СИЗ при снижении защитных свойств</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5.6.</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 xml:space="preserve">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w:t>
            </w:r>
            <w:r w:rsidRPr="009937A7">
              <w:rPr>
                <w:rFonts w:ascii="Times New Roman" w:eastAsia="Calibri" w:hAnsi="Times New Roman" w:cs="Times New Roman"/>
              </w:rPr>
              <w:lastRenderedPageBreak/>
              <w:t>энергоснабжения и последующем его восстановлении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5.7.</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5.8.</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5.9.</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Устройство новых и реконструкция имеющихся отопительных и вентиляционных систем в производственных и бытовых помещениях</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5.10.</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Механизация и автоматизация технологических операций (процессов) с учетом специфики деятельности организации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Обеспечение содержания зданий, помещений, территории в соответствии с требованиями охраны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государственной экспертизы условий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Принятие мер по устранению нарушений выявленных в ходе проведения государственной экспертизы условий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5.15.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 xml:space="preserve">Использование средств Фонда социального страхования Российской Федерации на финансирование предупредительных мер по </w:t>
            </w:r>
            <w:r w:rsidRPr="009937A7">
              <w:rPr>
                <w:rFonts w:ascii="Times New Roman" w:eastAsia="Calibri" w:hAnsi="Times New Roman" w:cs="Times New Roman"/>
              </w:rPr>
              <w:lastRenderedPageBreak/>
              <w:t>снижению производственного травматизма и профессиональных заболеваний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96" w:type="dxa"/>
            <w:gridSpan w:val="9"/>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 Повышать квалификацию – развивать профессиональные навыки</w:t>
            </w: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инструктажей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а)</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вводного инструктажа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б)</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первичного инструктажа на рабочем месте</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в)</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повторного инструктажа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г)</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внепланового инструктажа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д)</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целевого инструктажа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rPr>
                <w:rFonts w:ascii="Times New Roman" w:eastAsia="Times New Roman" w:hAnsi="Times New Roman" w:cs="Times New Roman"/>
                <w:lang w:eastAsia="ru-RU"/>
              </w:rPr>
            </w:pPr>
            <w:r w:rsidRPr="009937A7">
              <w:rPr>
                <w:rFonts w:ascii="Times New Roman" w:eastAsia="Times New Roman" w:hAnsi="Times New Roman" w:cs="Times New Roman"/>
                <w:lang w:eastAsia="ru-RU"/>
              </w:rPr>
              <w:t>Организация обучения работников рабочих профессий требованиям охраны труда, оказанию первой помощи пострадавшим</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Организация обучения электротехнического персонала на соответствующую группу по электробезопасности</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6.6.</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6.7.</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 xml:space="preserve">Включение вопроса «ВИЧ/СПИД на рабочих местах» в программы проведения инструктажей по охране труда, в планы обучения повышения квалификации </w:t>
            </w:r>
            <w:r w:rsidRPr="009937A7">
              <w:rPr>
                <w:rFonts w:ascii="Times New Roman" w:eastAsia="Calibri" w:hAnsi="Times New Roman" w:cs="Times New Roman"/>
              </w:rPr>
              <w:lastRenderedPageBreak/>
              <w:t>специалистов по охране труда, специалистов отделов кадров и медицинских работников, работающих в организациях</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96" w:type="dxa"/>
            <w:gridSpan w:val="9"/>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 Инвестировать в кадры – мотивировать посредством участия</w:t>
            </w: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7.1.</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Компенсация работникам оплаты занятий спортом в клубах и секциях</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7.2.</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Приобретение, содержание и обновление спортивного инвентаря</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7.3.</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Устройство новых и (или) реконструкция имеющихся помещений и площадок для занятий спортом</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7.4.</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смотров, конкурсов на лучшую организацию работы по охране труда среди структурных подразделений</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7.5.</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Проведение дней (месячника) охраны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7.6.</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Участие в федеральных и региональных конкурсах по охране труда</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r w:rsidR="009937A7" w:rsidRPr="009937A7" w:rsidTr="00993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r w:rsidRPr="009937A7">
              <w:rPr>
                <w:rFonts w:ascii="Times New Roman" w:eastAsia="Calibri" w:hAnsi="Times New Roman" w:cs="Times New Roman"/>
              </w:rPr>
              <w:t>7.7</w:t>
            </w:r>
          </w:p>
        </w:tc>
        <w:tc>
          <w:tcPr>
            <w:tcW w:w="4533"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rPr>
                <w:rFonts w:ascii="Times New Roman" w:eastAsia="Calibri" w:hAnsi="Times New Roman" w:cs="Times New Roman"/>
              </w:rPr>
            </w:pPr>
            <w:r w:rsidRPr="009937A7">
              <w:rPr>
                <w:rFonts w:ascii="Times New Roman" w:eastAsia="Calibri" w:hAnsi="Times New Roman" w:cs="Times New Roman"/>
              </w:rPr>
              <w:t>Организация различных информационно – методических площадок: уголков охраны труда, методических кабинетов</w:t>
            </w:r>
          </w:p>
        </w:tc>
        <w:tc>
          <w:tcPr>
            <w:tcW w:w="144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937A7" w:rsidRPr="009937A7" w:rsidRDefault="009937A7" w:rsidP="009937A7">
            <w:pPr>
              <w:spacing w:after="0" w:line="240" w:lineRule="auto"/>
              <w:contextualSpacing/>
              <w:jc w:val="center"/>
              <w:rPr>
                <w:rFonts w:ascii="Times New Roman" w:eastAsia="Calibri" w:hAnsi="Times New Roman" w:cs="Times New Roman"/>
              </w:rPr>
            </w:pPr>
          </w:p>
        </w:tc>
      </w:tr>
    </w:tbl>
    <w:p w:rsidR="009937A7" w:rsidRPr="00C33518" w:rsidRDefault="009937A7" w:rsidP="00C33518">
      <w:pPr>
        <w:spacing w:after="0"/>
        <w:jc w:val="both"/>
        <w:rPr>
          <w:rFonts w:ascii="Times New Roman" w:hAnsi="Times New Roman" w:cs="Times New Roman"/>
          <w:sz w:val="28"/>
          <w:szCs w:val="28"/>
        </w:rPr>
      </w:pPr>
      <w:bookmarkStart w:id="0" w:name="_GoBack"/>
      <w:bookmarkEnd w:id="0"/>
    </w:p>
    <w:sectPr w:rsidR="009937A7" w:rsidRPr="00C33518" w:rsidSect="009937A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A"/>
    <w:rsid w:val="000705D3"/>
    <w:rsid w:val="0008369A"/>
    <w:rsid w:val="00084BF4"/>
    <w:rsid w:val="00085588"/>
    <w:rsid w:val="000E5E3F"/>
    <w:rsid w:val="002D73E7"/>
    <w:rsid w:val="002E1437"/>
    <w:rsid w:val="00344346"/>
    <w:rsid w:val="00352B7E"/>
    <w:rsid w:val="003F5CB9"/>
    <w:rsid w:val="00426C57"/>
    <w:rsid w:val="00461520"/>
    <w:rsid w:val="004967EA"/>
    <w:rsid w:val="004A7F26"/>
    <w:rsid w:val="004B7A44"/>
    <w:rsid w:val="004C3A7F"/>
    <w:rsid w:val="004E22DD"/>
    <w:rsid w:val="005A540D"/>
    <w:rsid w:val="00683260"/>
    <w:rsid w:val="00694C09"/>
    <w:rsid w:val="0070290C"/>
    <w:rsid w:val="007B2174"/>
    <w:rsid w:val="00855879"/>
    <w:rsid w:val="00870119"/>
    <w:rsid w:val="008B0A42"/>
    <w:rsid w:val="008B51D2"/>
    <w:rsid w:val="00920EA4"/>
    <w:rsid w:val="00931629"/>
    <w:rsid w:val="00955363"/>
    <w:rsid w:val="00970613"/>
    <w:rsid w:val="009937A7"/>
    <w:rsid w:val="00997C57"/>
    <w:rsid w:val="009C4A1E"/>
    <w:rsid w:val="00A373CD"/>
    <w:rsid w:val="00A46859"/>
    <w:rsid w:val="00A64EEA"/>
    <w:rsid w:val="00A94C7A"/>
    <w:rsid w:val="00AA792C"/>
    <w:rsid w:val="00AB3F21"/>
    <w:rsid w:val="00AE50C5"/>
    <w:rsid w:val="00AF69E0"/>
    <w:rsid w:val="00B179D7"/>
    <w:rsid w:val="00B52728"/>
    <w:rsid w:val="00B94D7D"/>
    <w:rsid w:val="00BB3E4A"/>
    <w:rsid w:val="00C27C36"/>
    <w:rsid w:val="00C33518"/>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62B8"/>
  <w15:docId w15:val="{B3DE5A45-4D1E-441F-BA02-5176A68B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F9C2-88FF-4C79-BD60-EF5AE0D6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Никулаева Наталья Викторовна</cp:lastModifiedBy>
  <cp:revision>5</cp:revision>
  <cp:lastPrinted>2019-05-17T04:21:00Z</cp:lastPrinted>
  <dcterms:created xsi:type="dcterms:W3CDTF">2019-05-17T04:16:00Z</dcterms:created>
  <dcterms:modified xsi:type="dcterms:W3CDTF">2019-07-25T11:29:00Z</dcterms:modified>
</cp:coreProperties>
</file>