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1A6134" w:rsidRPr="001A6134">
        <w:rPr>
          <w:rFonts w:ascii="Times New Roman" w:eastAsia="Times New Roman" w:hAnsi="Times New Roman"/>
          <w:i/>
          <w:sz w:val="24"/>
          <w:szCs w:val="24"/>
          <w:u w:val="single"/>
          <w:lang w:eastAsia="ru-RU"/>
        </w:rPr>
        <w:t xml:space="preserve">п.г.т. Высокий, </w:t>
      </w:r>
      <w:r w:rsidR="00037DBA" w:rsidRPr="00037DBA">
        <w:rPr>
          <w:rFonts w:ascii="Times New Roman" w:eastAsia="Times New Roman" w:hAnsi="Times New Roman"/>
          <w:i/>
          <w:sz w:val="24"/>
          <w:szCs w:val="24"/>
          <w:u w:val="single"/>
          <w:lang w:eastAsia="ru-RU"/>
        </w:rPr>
        <w:t xml:space="preserve">ул. Ленина, в </w:t>
      </w:r>
      <w:proofErr w:type="gramStart"/>
      <w:r w:rsidR="00037DBA" w:rsidRPr="00037DBA">
        <w:rPr>
          <w:rFonts w:ascii="Times New Roman" w:eastAsia="Times New Roman" w:hAnsi="Times New Roman"/>
          <w:i/>
          <w:sz w:val="24"/>
          <w:szCs w:val="24"/>
          <w:u w:val="single"/>
          <w:lang w:eastAsia="ru-RU"/>
        </w:rPr>
        <w:t>районе  д</w:t>
      </w:r>
      <w:proofErr w:type="gramEnd"/>
      <w:r w:rsidR="00037DBA" w:rsidRPr="00037DBA">
        <w:rPr>
          <w:rFonts w:ascii="Times New Roman" w:eastAsia="Times New Roman" w:hAnsi="Times New Roman"/>
          <w:i/>
          <w:sz w:val="24"/>
          <w:szCs w:val="24"/>
          <w:u w:val="single"/>
          <w:lang w:eastAsia="ru-RU"/>
        </w:rPr>
        <w:t xml:space="preserve"> .27</w:t>
      </w:r>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размещения Объекта__</w:t>
      </w:r>
      <w:r w:rsidR="00D72FB1">
        <w:rPr>
          <w:rFonts w:ascii="Times New Roman" w:hAnsi="Times New Roman"/>
          <w:i/>
          <w:sz w:val="24"/>
          <w:szCs w:val="24"/>
          <w:u w:val="single"/>
        </w:rPr>
        <w:t>60</w:t>
      </w:r>
      <w:r w:rsidR="00742CD1" w:rsidRPr="00465369">
        <w:rPr>
          <w:rFonts w:ascii="Times New Roman" w:hAnsi="Times New Roman"/>
          <w:i/>
          <w:sz w:val="24"/>
          <w:szCs w:val="24"/>
          <w:u w:val="single"/>
        </w:rPr>
        <w:t xml:space="preserve">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Pr="009E6C26" w:rsidRDefault="008B6F0C" w:rsidP="008B6F0C">
      <w:pPr>
        <w:ind w:firstLine="283"/>
        <w:jc w:val="both"/>
        <w:rPr>
          <w:rFonts w:ascii="Times New Roman" w:hAnsi="Times New Roman"/>
          <w:i/>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5C15AF" w:rsidRPr="005C15AF">
        <w:rPr>
          <w:rFonts w:ascii="Times New Roman" w:hAnsi="Times New Roman"/>
          <w:i/>
          <w:sz w:val="24"/>
          <w:szCs w:val="24"/>
          <w:u w:val="single"/>
        </w:rPr>
        <w:t>торговая палатка</w:t>
      </w:r>
      <w:r w:rsidR="00A40BFC">
        <w:rPr>
          <w:rFonts w:ascii="Times New Roman" w:hAnsi="Times New Roman"/>
          <w:i/>
          <w:sz w:val="24"/>
          <w:szCs w:val="24"/>
          <w:u w:val="single"/>
        </w:rPr>
        <w:t xml:space="preserve">, </w:t>
      </w:r>
      <w:r w:rsidR="00A40BFC" w:rsidRPr="009E6C26">
        <w:rPr>
          <w:rFonts w:ascii="Times New Roman" w:hAnsi="Times New Roman"/>
          <w:i/>
          <w:sz w:val="24"/>
          <w:szCs w:val="24"/>
          <w:u w:val="single"/>
        </w:rPr>
        <w:t xml:space="preserve">площадью </w:t>
      </w:r>
      <w:r w:rsidR="00D72FB1">
        <w:rPr>
          <w:rFonts w:ascii="Times New Roman" w:hAnsi="Times New Roman"/>
          <w:i/>
          <w:sz w:val="24"/>
          <w:szCs w:val="24"/>
          <w:u w:val="single"/>
        </w:rPr>
        <w:t>60</w:t>
      </w:r>
      <w:r w:rsidR="00A40BFC" w:rsidRPr="009E6C26">
        <w:rPr>
          <w:rFonts w:ascii="Times New Roman" w:hAnsi="Times New Roman"/>
          <w:i/>
          <w:sz w:val="24"/>
          <w:szCs w:val="24"/>
          <w:u w:val="single"/>
        </w:rPr>
        <w:t xml:space="preserve"> кв.м.</w:t>
      </w:r>
      <w:r w:rsidR="00A40BFC">
        <w:rPr>
          <w:rFonts w:ascii="Times New Roman" w:hAnsi="Times New Roman"/>
          <w:i/>
          <w:sz w:val="24"/>
          <w:szCs w:val="24"/>
          <w:u w:val="single"/>
        </w:rPr>
        <w:t xml:space="preserve">,                        </w:t>
      </w:r>
      <w:proofErr w:type="gramStart"/>
      <w:r w:rsidR="00A40BFC">
        <w:rPr>
          <w:rFonts w:ascii="Times New Roman" w:hAnsi="Times New Roman"/>
          <w:i/>
          <w:sz w:val="24"/>
          <w:szCs w:val="24"/>
          <w:u w:val="single"/>
        </w:rPr>
        <w:t xml:space="preserve">  </w:t>
      </w:r>
      <w:r w:rsidR="005C15AF" w:rsidRPr="005C15AF">
        <w:rPr>
          <w:rFonts w:ascii="Times New Roman" w:hAnsi="Times New Roman"/>
          <w:i/>
          <w:sz w:val="24"/>
          <w:szCs w:val="24"/>
          <w:u w:val="single"/>
        </w:rPr>
        <w:t xml:space="preserve"> (</w:t>
      </w:r>
      <w:proofErr w:type="gramEnd"/>
      <w:r w:rsidR="005C15AF" w:rsidRPr="005C15AF">
        <w:rPr>
          <w:rFonts w:ascii="Times New Roman" w:hAnsi="Times New Roman"/>
          <w:i/>
          <w:sz w:val="24"/>
          <w:szCs w:val="24"/>
          <w:u w:val="single"/>
        </w:rPr>
        <w:t>овощи, фрукты)</w:t>
      </w:r>
      <w:r w:rsidR="005C15AF" w:rsidRPr="009E6C26">
        <w:rPr>
          <w:rFonts w:ascii="Times New Roman" w:hAnsi="Times New Roman"/>
          <w:i/>
          <w:sz w:val="24"/>
          <w:szCs w:val="24"/>
          <w:u w:val="single"/>
        </w:rPr>
        <w:t xml:space="preserve"> </w:t>
      </w:r>
      <w:r w:rsidR="00742CD1" w:rsidRPr="009E6C26">
        <w:rPr>
          <w:rFonts w:ascii="Times New Roman" w:hAnsi="Times New Roman"/>
          <w:i/>
          <w:sz w:val="24"/>
          <w:szCs w:val="24"/>
          <w:u w:val="single"/>
        </w:rPr>
        <w:t xml:space="preserve">. </w:t>
      </w:r>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5C15AF" w:rsidRDefault="005C15AF" w:rsidP="008B6F0C">
      <w:pPr>
        <w:ind w:firstLine="283"/>
        <w:jc w:val="both"/>
        <w:rPr>
          <w:rFonts w:ascii="Times New Roman" w:hAnsi="Times New Roman"/>
          <w:sz w:val="24"/>
          <w:szCs w:val="24"/>
        </w:rPr>
      </w:pPr>
      <w:r w:rsidRPr="005C15AF">
        <w:rPr>
          <w:rFonts w:ascii="Times New Roman" w:hAnsi="Times New Roman"/>
          <w:sz w:val="24"/>
          <w:szCs w:val="24"/>
        </w:rPr>
        <w:t>Летние торговые палатки должны соответствовать техническим характеристикам и внешнему виду, указанным в приложении к извещению о проведении аукциона.</w:t>
      </w:r>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bookmarkStart w:id="1" w:name="_GoBack"/>
      <w:bookmarkEnd w:id="1"/>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37DBA"/>
    <w:rsid w:val="000E456F"/>
    <w:rsid w:val="000E5BAF"/>
    <w:rsid w:val="001720ED"/>
    <w:rsid w:val="001A6134"/>
    <w:rsid w:val="002159A6"/>
    <w:rsid w:val="00237926"/>
    <w:rsid w:val="002924AC"/>
    <w:rsid w:val="002A656D"/>
    <w:rsid w:val="003F113C"/>
    <w:rsid w:val="00465369"/>
    <w:rsid w:val="00497C5E"/>
    <w:rsid w:val="005C15AF"/>
    <w:rsid w:val="005E3010"/>
    <w:rsid w:val="00677B5A"/>
    <w:rsid w:val="00742CD1"/>
    <w:rsid w:val="007F2D77"/>
    <w:rsid w:val="008B6F0C"/>
    <w:rsid w:val="009E6C26"/>
    <w:rsid w:val="00A40BFC"/>
    <w:rsid w:val="00B140F4"/>
    <w:rsid w:val="00B7568B"/>
    <w:rsid w:val="00BF0C56"/>
    <w:rsid w:val="00CB3806"/>
    <w:rsid w:val="00D72FB1"/>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19</cp:revision>
  <cp:lastPrinted>2019-03-04T11:34:00Z</cp:lastPrinted>
  <dcterms:created xsi:type="dcterms:W3CDTF">2019-03-04T09:59:00Z</dcterms:created>
  <dcterms:modified xsi:type="dcterms:W3CDTF">2019-03-12T05:42:00Z</dcterms:modified>
</cp:coreProperties>
</file>